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12D" w:rsidRDefault="003A1AA1">
      <w:pPr>
        <w:jc w:val="center"/>
        <w:rPr>
          <w:rFonts w:ascii="Verdana" w:eastAsia="Verdana" w:hAnsi="Verdana" w:cs="Verdana"/>
          <w:b/>
          <w:sz w:val="28"/>
          <w:szCs w:val="28"/>
        </w:rPr>
      </w:pPr>
      <w:bookmarkStart w:id="0" w:name="_GoBack"/>
      <w:bookmarkEnd w:id="0"/>
      <w:r>
        <w:rPr>
          <w:rFonts w:ascii="Verdana" w:eastAsia="Verdana" w:hAnsi="Verdana" w:cs="Verdana"/>
          <w:b/>
          <w:sz w:val="28"/>
          <w:szCs w:val="28"/>
        </w:rPr>
        <w:t>TERMO DE REFERÊNCIA</w:t>
      </w:r>
    </w:p>
    <w:p w:rsidR="0049312D" w:rsidRDefault="003A1AA1">
      <w:pPr>
        <w:spacing w:after="200"/>
        <w:jc w:val="center"/>
        <w:rPr>
          <w:rFonts w:ascii="Verdana" w:eastAsia="Verdana" w:hAnsi="Verdana" w:cs="Verdana"/>
          <w:b/>
          <w:sz w:val="28"/>
          <w:szCs w:val="28"/>
        </w:rPr>
      </w:pPr>
      <w:r>
        <w:rPr>
          <w:rFonts w:ascii="Verdana" w:eastAsia="Verdana" w:hAnsi="Verdana" w:cs="Verdana"/>
          <w:b/>
          <w:sz w:val="28"/>
          <w:szCs w:val="28"/>
        </w:rPr>
        <w:t>Processo Administrativo Nº 80/2024</w:t>
      </w:r>
    </w:p>
    <w:p w:rsidR="0049312D" w:rsidRDefault="003A1AA1">
      <w:pPr>
        <w:spacing w:before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1. DO OBJETO</w:t>
      </w:r>
    </w:p>
    <w:p w:rsidR="0049312D" w:rsidRDefault="003A1AA1">
      <w:pPr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1.1 Contratação de empresa especializada em serviços de laudo CSV de carroceria transporte escolar.</w:t>
      </w:r>
    </w:p>
    <w:p w:rsidR="0049312D" w:rsidRDefault="003A1AA1">
      <w:pP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1.2 A estimativa preliminar do preço para a contratação é de R$</w:t>
      </w:r>
      <w:r>
        <w:rPr>
          <w:rFonts w:ascii="Verdana" w:eastAsia="Verdana" w:hAnsi="Verdana" w:cs="Verdana"/>
          <w:sz w:val="22"/>
          <w:szCs w:val="22"/>
        </w:rPr>
        <w:t>8.800,00.</w:t>
      </w:r>
    </w:p>
    <w:p w:rsidR="0049312D" w:rsidRDefault="003A1AA1">
      <w:pPr>
        <w:spacing w:before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2. JUSTIFICATIVA E OBJETIVO DA CONTRATAÇÃO</w:t>
      </w:r>
    </w:p>
    <w:p w:rsidR="0049312D" w:rsidRDefault="003A1AA1">
      <w:pPr>
        <w:spacing w:before="200" w:after="240" w:line="276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2.1 A Administração Pública Municipal de Abelardo Luz reconhece a importância primordial de garantir a segurança e o bem-estar dos alunos que utilizam o transporte escolar. Neste contexto, é imprescindível assegur</w:t>
      </w:r>
      <w:r>
        <w:rPr>
          <w:rFonts w:ascii="Verdana" w:eastAsia="Verdana" w:hAnsi="Verdana" w:cs="Verdana"/>
          <w:sz w:val="24"/>
          <w:szCs w:val="24"/>
        </w:rPr>
        <w:t>ar que os veículos destinados ao transporte de estudantes atendam aos mais altos padrões de segurança, conforme exigido pelas normativas vigentes.</w:t>
      </w:r>
    </w:p>
    <w:p w:rsidR="0049312D" w:rsidRDefault="003A1AA1">
      <w:pPr>
        <w:spacing w:before="24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2.2 Atualmente, a frota de veículos utilizada para o transporte escolar no município necessita de avaliação t</w:t>
      </w:r>
      <w:r>
        <w:rPr>
          <w:rFonts w:ascii="Verdana" w:eastAsia="Verdana" w:hAnsi="Verdana" w:cs="Verdana"/>
          <w:sz w:val="24"/>
          <w:szCs w:val="24"/>
        </w:rPr>
        <w:t>écnica aprofundada, especialmente no que se refere à verificação da integridade e segurança das carrocerias. A garantia da conformidade desses veículos com os requisitos de segurança estabelecidos é essencial para prevenir potenciais riscos e acidentes que</w:t>
      </w:r>
      <w:r>
        <w:rPr>
          <w:rFonts w:ascii="Verdana" w:eastAsia="Verdana" w:hAnsi="Verdana" w:cs="Verdana"/>
          <w:sz w:val="24"/>
          <w:szCs w:val="24"/>
        </w:rPr>
        <w:t xml:space="preserve"> possam colocar em perigo a vida e a integridade dos alunos.</w:t>
      </w:r>
    </w:p>
    <w:p w:rsidR="0049312D" w:rsidRDefault="003A1AA1">
      <w:pPr>
        <w:spacing w:before="24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2.3 Considerando a relevância dessa questão para a comunidade escolar e para toda a sociedade, torna-se imperativo contratar uma empresa especializada em serviços de laudo CSV (Certificado de Seg</w:t>
      </w:r>
      <w:r>
        <w:rPr>
          <w:rFonts w:ascii="Verdana" w:eastAsia="Verdana" w:hAnsi="Verdana" w:cs="Verdana"/>
          <w:sz w:val="24"/>
          <w:szCs w:val="24"/>
        </w:rPr>
        <w:t>urança Veicular) de carroceria para transporte escolar. Tal contratação visa a realização de inspeções técnicas minuciosas, que incluem a verificação de itens como estrutura, fixação, resistência e demais aspectos que impactam diretamente na segurança do t</w:t>
      </w:r>
      <w:r>
        <w:rPr>
          <w:rFonts w:ascii="Verdana" w:eastAsia="Verdana" w:hAnsi="Verdana" w:cs="Verdana"/>
          <w:sz w:val="24"/>
          <w:szCs w:val="24"/>
        </w:rPr>
        <w:t>ransporte de crianças e adolescentes.</w:t>
      </w:r>
    </w:p>
    <w:p w:rsidR="0049312D" w:rsidRDefault="003A1AA1">
      <w:pPr>
        <w:spacing w:before="24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2.4 A contratação de uma empresa especializada neste tipo de serviço é essencial para garantir a conformidade dos veículos com as normas de segurança estabelecidas pelos órgãos competentes, promovendo assim a tranquili</w:t>
      </w:r>
      <w:r>
        <w:rPr>
          <w:rFonts w:ascii="Verdana" w:eastAsia="Verdana" w:hAnsi="Verdana" w:cs="Verdana"/>
          <w:sz w:val="24"/>
          <w:szCs w:val="24"/>
        </w:rPr>
        <w:t>dade e a confiança dos pais, responsáveis e da comunidade escolar em relação ao transporte dos alunos.</w:t>
      </w:r>
    </w:p>
    <w:p w:rsidR="0049312D" w:rsidRDefault="003A1AA1">
      <w:pPr>
        <w:spacing w:before="24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2.5 Portanto, a Administração Pública Municipal de Abelardo Luz reconhece a necessidade premente da contratação de uma empresa capacitada para a realizaç</w:t>
      </w:r>
      <w:r>
        <w:rPr>
          <w:rFonts w:ascii="Verdana" w:eastAsia="Verdana" w:hAnsi="Verdana" w:cs="Verdana"/>
          <w:sz w:val="24"/>
          <w:szCs w:val="24"/>
        </w:rPr>
        <w:t>ão de laudos CSV de carroceria para transporte escolar, visando a assegurar a segurança e o bem-estar dos estudantes durante seus deslocamentos para as instituições de ensino. Esta iniciativa está em total consonância com o interesse público e com o compro</w:t>
      </w:r>
      <w:r>
        <w:rPr>
          <w:rFonts w:ascii="Verdana" w:eastAsia="Verdana" w:hAnsi="Verdana" w:cs="Verdana"/>
          <w:sz w:val="24"/>
          <w:szCs w:val="24"/>
        </w:rPr>
        <w:t>misso da administração em priorizar a segurança e a qualidade dos serviços prestados à comunidade escolar.</w:t>
      </w:r>
    </w:p>
    <w:p w:rsidR="0049312D" w:rsidRDefault="003A1AA1">
      <w:pPr>
        <w:spacing w:before="200" w:after="240" w:line="276" w:lineRule="auto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lastRenderedPageBreak/>
        <w:t>3. CLASSIFICAÇÃO DOS BENS/SERVIÇOS COMUNS</w:t>
      </w:r>
    </w:p>
    <w:p w:rsidR="0049312D" w:rsidRDefault="003A1AA1">
      <w:pPr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3.1 Consideram-se bens e serviços comuns, para os fins e efeitos do art. 6º, XIII, da Lei nº 14.133/2021, a</w:t>
      </w:r>
      <w:r>
        <w:rPr>
          <w:rFonts w:ascii="Verdana" w:eastAsia="Verdana" w:hAnsi="Verdana" w:cs="Verdana"/>
          <w:sz w:val="24"/>
          <w:szCs w:val="24"/>
        </w:rPr>
        <w:t>queles cujos padrões de desempenho e qualidade possam ser objetivamente definidos no Termo de Referência, por meio de especificações usuais no Mercado.</w:t>
      </w:r>
    </w:p>
    <w:p w:rsidR="0049312D" w:rsidRDefault="003A1AA1">
      <w:pPr>
        <w:spacing w:before="200"/>
        <w:ind w:left="340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Art. </w:t>
      </w:r>
      <w:r>
        <w:rPr>
          <w:rFonts w:ascii="Arial" w:eastAsia="Arial" w:hAnsi="Arial" w:cs="Arial"/>
        </w:rPr>
        <w:tab/>
        <w:t>6º Para os fins desta Lei, consideram-se:</w:t>
      </w:r>
    </w:p>
    <w:p w:rsidR="0049312D" w:rsidRDefault="003A1AA1">
      <w:pPr>
        <w:spacing w:before="200"/>
        <w:ind w:left="3401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Arial" w:eastAsia="Arial" w:hAnsi="Arial" w:cs="Arial"/>
        </w:rPr>
        <w:t xml:space="preserve">XIII - bens e serviços comuns: aqueles cujos padrões de </w:t>
      </w:r>
      <w:r>
        <w:rPr>
          <w:rFonts w:ascii="Arial" w:eastAsia="Arial" w:hAnsi="Arial" w:cs="Arial"/>
        </w:rPr>
        <w:t xml:space="preserve">desempenho e qualidade </w:t>
      </w:r>
      <w:r>
        <w:rPr>
          <w:rFonts w:ascii="Arial" w:eastAsia="Arial" w:hAnsi="Arial" w:cs="Arial"/>
        </w:rPr>
        <w:tab/>
        <w:t xml:space="preserve">podem ser objetivamente definidos pelo edital, por meio de especificações </w:t>
      </w:r>
      <w:r>
        <w:rPr>
          <w:rFonts w:ascii="Arial" w:eastAsia="Arial" w:hAnsi="Arial" w:cs="Arial"/>
        </w:rPr>
        <w:tab/>
        <w:t xml:space="preserve">usuais de mercado; </w:t>
      </w:r>
    </w:p>
    <w:p w:rsidR="0049312D" w:rsidRDefault="003A1AA1">
      <w:pPr>
        <w:spacing w:before="200" w:after="240" w:line="276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3.2 A segurança dos alunos é uma prioridade máxima. A contratação de uma empresa especializada para realizar inspeções técnicas nas carro</w:t>
      </w:r>
      <w:r>
        <w:rPr>
          <w:rFonts w:ascii="Verdana" w:eastAsia="Verdana" w:hAnsi="Verdana" w:cs="Verdana"/>
          <w:sz w:val="24"/>
          <w:szCs w:val="24"/>
        </w:rPr>
        <w:t>cerias dos veículos de transporte escolar é uma medida essencial para garantir que esses veículos atendam aos mais altos padrões de segurança.</w:t>
      </w:r>
    </w:p>
    <w:p w:rsidR="0049312D" w:rsidRDefault="003A1AA1">
      <w:pPr>
        <w:spacing w:before="200" w:after="240" w:line="276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3.3 A avaliação da integridade e segurança das carrocerias dos veículos requer conhecimentos técnicos especializa</w:t>
      </w:r>
      <w:r>
        <w:rPr>
          <w:rFonts w:ascii="Verdana" w:eastAsia="Verdana" w:hAnsi="Verdana" w:cs="Verdana"/>
          <w:sz w:val="24"/>
          <w:szCs w:val="24"/>
        </w:rPr>
        <w:t>dos. As empresas especializadas têm a experiência e os recursos necessários para realizar essas avaliações de forma abrangente e precisa.</w:t>
      </w:r>
    </w:p>
    <w:p w:rsidR="0049312D" w:rsidRDefault="003A1AA1">
      <w:pPr>
        <w:spacing w:before="200" w:after="240" w:line="276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3.4 A contratação de uma empresa especializada em serviços de laudo CSV de carroceria para transporte escolar é uma pr</w:t>
      </w:r>
      <w:r>
        <w:rPr>
          <w:rFonts w:ascii="Verdana" w:eastAsia="Verdana" w:hAnsi="Verdana" w:cs="Verdana"/>
          <w:sz w:val="24"/>
          <w:szCs w:val="24"/>
        </w:rPr>
        <w:t>ática comum e recomendada para garantir a segurança e a qualidade do transporte dos alunos.</w:t>
      </w:r>
    </w:p>
    <w:p w:rsidR="0049312D" w:rsidRDefault="003A1AA1">
      <w:pPr>
        <w:spacing w:before="200" w:after="240" w:line="276" w:lineRule="auto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4. DOS PRAZOS PARA A EXECUÇÃO DOS SERVIÇOS</w:t>
      </w:r>
    </w:p>
    <w:p w:rsidR="0049312D" w:rsidRDefault="003A1AA1">
      <w:pPr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4.1 Os serviços deverão estar disponíveis no prazo de 15 a 20 dias a partir da assinatura do contrato.</w:t>
      </w:r>
    </w:p>
    <w:p w:rsidR="0049312D" w:rsidRDefault="003A1AA1">
      <w:pPr>
        <w:spacing w:before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5. OBRIGAÇÕES DA C</w:t>
      </w:r>
      <w:r>
        <w:rPr>
          <w:rFonts w:ascii="Verdana" w:eastAsia="Verdana" w:hAnsi="Verdana" w:cs="Verdana"/>
          <w:b/>
          <w:sz w:val="24"/>
          <w:szCs w:val="24"/>
        </w:rPr>
        <w:t>ONTRATANTE</w:t>
      </w:r>
    </w:p>
    <w:p w:rsidR="0049312D" w:rsidRDefault="003A1AA1">
      <w:pPr>
        <w:spacing w:before="200" w:after="240" w:line="276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5.1 Nomear Gestor e Fiscais Técnico, Administrativo e Requisitante do Contrato para acompanhar e fiscalizar sua execução;</w:t>
      </w:r>
    </w:p>
    <w:p w:rsidR="0049312D" w:rsidRDefault="003A1AA1">
      <w:pPr>
        <w:spacing w:before="200" w:after="240" w:line="276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5.2 Aplicar à CONTRATADA as sanções administrativas regulamentares e contratuais cabíveis caso se faça necessário;</w:t>
      </w:r>
    </w:p>
    <w:p w:rsidR="0049312D" w:rsidRDefault="003A1AA1">
      <w:pPr>
        <w:widowControl w:val="0"/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5.3 Liquidar o empenho e efetuar o pagamento à CONTRATADA, dentro dos prazos preestabelecidos em contrato;</w:t>
      </w:r>
    </w:p>
    <w:p w:rsidR="0049312D" w:rsidRDefault="003A1AA1">
      <w:pPr>
        <w:spacing w:before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6. OBRIGAÇÕES DA CONTRATADA</w:t>
      </w:r>
    </w:p>
    <w:p w:rsidR="0049312D" w:rsidRDefault="003A1AA1">
      <w:pPr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6.1 A Contratada deve cumprir todas as obrigações constantes no Termo de Referência, seus anexos e sua proposta, assumindo como </w:t>
      </w:r>
      <w:r>
        <w:rPr>
          <w:rFonts w:ascii="Verdana" w:eastAsia="Verdana" w:hAnsi="Verdana" w:cs="Verdana"/>
          <w:sz w:val="24"/>
          <w:szCs w:val="24"/>
        </w:rPr>
        <w:lastRenderedPageBreak/>
        <w:t>exclusivamente seus riscos e as despesas decorrentes da boa e perfeita execução do objeto e, ainda:</w:t>
      </w:r>
    </w:p>
    <w:p w:rsidR="0049312D" w:rsidRDefault="003A1AA1">
      <w:pPr>
        <w:widowControl w:val="0"/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6.2 Comunicar o CONTRATANTE </w:t>
      </w:r>
      <w:r>
        <w:rPr>
          <w:rFonts w:ascii="Verdana" w:eastAsia="Verdana" w:hAnsi="Verdana" w:cs="Verdana"/>
          <w:sz w:val="24"/>
          <w:szCs w:val="24"/>
        </w:rPr>
        <w:t>acerca de quaisquer irregularidades e/ou infrações disciplinares cometidas.</w:t>
      </w:r>
    </w:p>
    <w:p w:rsidR="0049312D" w:rsidRDefault="003A1AA1">
      <w:pPr>
        <w:widowControl w:val="0"/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6.3 Atender prontamente quaisquer orientações e exigências do fiscal do contrato, inerentes à execução do serviço contratual.</w:t>
      </w:r>
    </w:p>
    <w:p w:rsidR="0049312D" w:rsidRDefault="003A1AA1">
      <w:pP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6.4 Tomar todas as providências necessárias à fiel exe</w:t>
      </w:r>
      <w:r>
        <w:rPr>
          <w:rFonts w:ascii="Verdana" w:eastAsia="Verdana" w:hAnsi="Verdana" w:cs="Verdana"/>
          <w:sz w:val="24"/>
          <w:szCs w:val="24"/>
        </w:rPr>
        <w:t>cução dos serviços do Contrato;</w:t>
      </w:r>
    </w:p>
    <w:p w:rsidR="0049312D" w:rsidRDefault="003A1AA1">
      <w:pPr>
        <w:spacing w:after="200" w:line="276" w:lineRule="auto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7. DA SUBCONTRATAÇÃO</w:t>
      </w:r>
    </w:p>
    <w:p w:rsidR="0049312D" w:rsidRDefault="003A1A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7.1 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Não será admitida a subcontratação do objeto </w:t>
      </w:r>
      <w:r>
        <w:rPr>
          <w:rFonts w:ascii="Verdana" w:eastAsia="Verdana" w:hAnsi="Verdana" w:cs="Verdana"/>
          <w:sz w:val="24"/>
          <w:szCs w:val="24"/>
        </w:rPr>
        <w:t>licitatório.</w:t>
      </w:r>
    </w:p>
    <w:p w:rsidR="0049312D" w:rsidRDefault="003A1AA1">
      <w:pPr>
        <w:spacing w:before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8. DO CONTROLE E FISCALIZAÇÃO DA EXECUÇÃO</w:t>
      </w:r>
    </w:p>
    <w:p w:rsidR="0049312D" w:rsidRDefault="003A1AA1">
      <w:pPr>
        <w:widowControl w:val="0"/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8.1 Nos termos do art. 117 da Lei 14.133/2021, será designado um representante pela Administração M</w:t>
      </w:r>
      <w:r>
        <w:rPr>
          <w:rFonts w:ascii="Verdana" w:eastAsia="Verdana" w:hAnsi="Verdana" w:cs="Verdana"/>
          <w:sz w:val="24"/>
          <w:szCs w:val="24"/>
        </w:rPr>
        <w:t>unicipal de Abelardo Luz para desempenhar o papel de fiscal durante a execução do contrato, para isso indica-se o servidor Adriano Luiz Poggere. Este representante terá a responsabilidade de acompanhar o acolhimento, fiscalizar a execução do contrato e reg</w:t>
      </w:r>
      <w:r>
        <w:rPr>
          <w:rFonts w:ascii="Verdana" w:eastAsia="Verdana" w:hAnsi="Verdana" w:cs="Verdana"/>
          <w:sz w:val="24"/>
          <w:szCs w:val="24"/>
        </w:rPr>
        <w:t>istrar todas as ocorrências relevantes em um documento próprio.</w:t>
      </w:r>
    </w:p>
    <w:p w:rsidR="0049312D" w:rsidRDefault="003A1AA1">
      <w:pPr>
        <w:widowControl w:val="0"/>
        <w:spacing w:before="200"/>
        <w:jc w:val="both"/>
        <w:rPr>
          <w:rFonts w:ascii="Verdana" w:eastAsia="Verdana" w:hAnsi="Verdana" w:cs="Verdana"/>
          <w:b/>
          <w:sz w:val="24"/>
          <w:szCs w:val="24"/>
          <w:highlight w:val="green"/>
        </w:rPr>
      </w:pPr>
      <w:r>
        <w:rPr>
          <w:rFonts w:ascii="Verdana" w:eastAsia="Verdana" w:hAnsi="Verdana" w:cs="Verdana"/>
          <w:sz w:val="24"/>
          <w:szCs w:val="24"/>
        </w:rPr>
        <w:t>8.2 Caberá aos fiscais do contrato, dentre outras atribuições, determinar providências necessárias ao regular e efetivo cumprimento contratual, bem como anotar e enquadrar as infrações contrat</w:t>
      </w:r>
      <w:r>
        <w:rPr>
          <w:rFonts w:ascii="Verdana" w:eastAsia="Verdana" w:hAnsi="Verdana" w:cs="Verdana"/>
          <w:sz w:val="24"/>
          <w:szCs w:val="24"/>
        </w:rPr>
        <w:t>uais constatadas, comunicando as mesmas ao seu superior hierárquico.</w:t>
      </w:r>
    </w:p>
    <w:p w:rsidR="0049312D" w:rsidRDefault="003A1AA1">
      <w:pPr>
        <w:spacing w:before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9. DO PAGAMENTO</w:t>
      </w:r>
    </w:p>
    <w:p w:rsidR="0049312D" w:rsidRDefault="003A1AA1">
      <w:pPr>
        <w:widowControl w:val="0"/>
        <w:spacing w:before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9.1 A Prefeitura de Abelardo Luz efetuará o pagamento do objeto desta licitação 30 dias após a data de apresentação das respectivas notas fiscais, devidamente atestadas pe</w:t>
      </w:r>
      <w:r>
        <w:rPr>
          <w:rFonts w:ascii="Verdana" w:eastAsia="Verdana" w:hAnsi="Verdana" w:cs="Verdana"/>
          <w:sz w:val="24"/>
          <w:szCs w:val="24"/>
        </w:rPr>
        <w:t>los servidores responsáveis.</w:t>
      </w:r>
    </w:p>
    <w:p w:rsidR="0049312D" w:rsidRDefault="003A1AA1">
      <w:pPr>
        <w:widowControl w:val="0"/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9.2 As despesas decorrentes da aquisição do objeto da presente Licitação correrão por conta da dotação específica da Secretaria de educação prevista na Lei Orçamentária Anual para o exercício financeiro de 2024.</w:t>
      </w:r>
    </w:p>
    <w:p w:rsidR="0049312D" w:rsidRDefault="003A1AA1">
      <w:pPr>
        <w:widowControl w:val="0"/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9.3 1-5000-5001</w:t>
      </w:r>
      <w:r>
        <w:rPr>
          <w:rFonts w:ascii="Verdana" w:eastAsia="Verdana" w:hAnsi="Verdana" w:cs="Verdana"/>
          <w:sz w:val="24"/>
          <w:szCs w:val="24"/>
        </w:rPr>
        <w:t>-12-361-2.16 Despesa 185 e 186 3.3.90.00.00 Aplicações Diretas</w:t>
      </w:r>
    </w:p>
    <w:p w:rsidR="0049312D" w:rsidRDefault="003A1AA1">
      <w:pPr>
        <w:spacing w:before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10. DO REAJUSTE</w:t>
      </w:r>
    </w:p>
    <w:p w:rsidR="0049312D" w:rsidRDefault="003A1AA1">
      <w:pPr>
        <w:spacing w:before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10.1</w:t>
      </w:r>
      <w:r>
        <w:rPr>
          <w:rFonts w:ascii="Verdana" w:eastAsia="Verdana" w:hAnsi="Verdana" w:cs="Verdana"/>
          <w:b/>
          <w:sz w:val="24"/>
          <w:szCs w:val="24"/>
        </w:rPr>
        <w:t xml:space="preserve"> </w:t>
      </w:r>
      <w:r>
        <w:rPr>
          <w:rFonts w:ascii="Verdana" w:eastAsia="Verdana" w:hAnsi="Verdana" w:cs="Verdana"/>
          <w:sz w:val="24"/>
          <w:szCs w:val="24"/>
        </w:rPr>
        <w:t>Os preços são fixos e irreajustáveis.</w:t>
      </w:r>
    </w:p>
    <w:p w:rsidR="0049312D" w:rsidRDefault="003A1AA1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b/>
          <w:color w:val="000000"/>
          <w:sz w:val="24"/>
          <w:szCs w:val="24"/>
        </w:rPr>
      </w:pPr>
      <w:r>
        <w:rPr>
          <w:rFonts w:ascii="Verdana" w:eastAsia="Verdana" w:hAnsi="Verdana" w:cs="Verdana"/>
          <w:b/>
          <w:color w:val="000000"/>
          <w:sz w:val="24"/>
          <w:szCs w:val="24"/>
        </w:rPr>
        <w:t>1</w:t>
      </w:r>
      <w:r>
        <w:rPr>
          <w:rFonts w:ascii="Verdana" w:eastAsia="Verdana" w:hAnsi="Verdana" w:cs="Verdana"/>
          <w:b/>
          <w:sz w:val="24"/>
          <w:szCs w:val="24"/>
        </w:rPr>
        <w:t>1</w:t>
      </w:r>
      <w:r>
        <w:rPr>
          <w:rFonts w:ascii="Verdana" w:eastAsia="Verdana" w:hAnsi="Verdana" w:cs="Verdana"/>
          <w:b/>
          <w:color w:val="000000"/>
          <w:sz w:val="24"/>
          <w:szCs w:val="24"/>
        </w:rPr>
        <w:t>. DAS SANÇÕES ADMINISTRATIVAS</w:t>
      </w:r>
    </w:p>
    <w:p w:rsidR="0049312D" w:rsidRDefault="003A1A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 </w:t>
      </w:r>
      <w:r>
        <w:rPr>
          <w:rFonts w:ascii="Verdana" w:eastAsia="Verdana" w:hAnsi="Verdana" w:cs="Verdana"/>
          <w:color w:val="000000"/>
          <w:sz w:val="24"/>
          <w:szCs w:val="24"/>
        </w:rPr>
        <w:t>Comete infração administrativa nos termos do artigo 155, da Lei nº 14.133/2021, a Contratada que:</w:t>
      </w:r>
    </w:p>
    <w:p w:rsidR="0049312D" w:rsidRDefault="003A1A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lastRenderedPageBreak/>
        <w:t xml:space="preserve">11.2 </w:t>
      </w:r>
      <w:r>
        <w:rPr>
          <w:rFonts w:ascii="Verdana" w:eastAsia="Verdana" w:hAnsi="Verdana" w:cs="Verdana"/>
          <w:color w:val="000000"/>
          <w:sz w:val="24"/>
          <w:szCs w:val="24"/>
        </w:rPr>
        <w:t>Dar causa à inexecução parcial do contrato que cause grave dano à Administração, ao funcionamento dos serviços públicos ou ao interesse coletivo;</w:t>
      </w:r>
    </w:p>
    <w:p w:rsidR="0049312D" w:rsidRDefault="003A1A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11.3 </w:t>
      </w:r>
      <w:r>
        <w:rPr>
          <w:rFonts w:ascii="Verdana" w:eastAsia="Verdana" w:hAnsi="Verdana" w:cs="Verdana"/>
          <w:color w:val="000000"/>
          <w:sz w:val="24"/>
          <w:szCs w:val="24"/>
        </w:rPr>
        <w:t>Dar causa à inexecução total do contrato;</w:t>
      </w:r>
    </w:p>
    <w:p w:rsidR="0049312D" w:rsidRDefault="003A1A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11.4 </w:t>
      </w:r>
      <w:r>
        <w:rPr>
          <w:rFonts w:ascii="Verdana" w:eastAsia="Verdana" w:hAnsi="Verdana" w:cs="Verdana"/>
          <w:color w:val="000000"/>
          <w:sz w:val="24"/>
          <w:szCs w:val="24"/>
        </w:rPr>
        <w:t>Deixar de entregar a documentação exigida para o cer</w:t>
      </w:r>
      <w:r>
        <w:rPr>
          <w:rFonts w:ascii="Verdana" w:eastAsia="Verdana" w:hAnsi="Verdana" w:cs="Verdana"/>
          <w:color w:val="000000"/>
          <w:sz w:val="24"/>
          <w:szCs w:val="24"/>
        </w:rPr>
        <w:t>tame;</w:t>
      </w:r>
    </w:p>
    <w:p w:rsidR="0049312D" w:rsidRDefault="003A1A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11.5 </w:t>
      </w:r>
      <w:r>
        <w:rPr>
          <w:rFonts w:ascii="Verdana" w:eastAsia="Verdana" w:hAnsi="Verdana" w:cs="Verdana"/>
          <w:color w:val="000000"/>
          <w:sz w:val="24"/>
          <w:szCs w:val="24"/>
        </w:rPr>
        <w:t>Não manter a proposta, salvo em decorrência de fato superveniente devidamente justificado;</w:t>
      </w:r>
    </w:p>
    <w:p w:rsidR="0049312D" w:rsidRDefault="003A1A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11.6 </w:t>
      </w:r>
      <w:r>
        <w:rPr>
          <w:rFonts w:ascii="Verdana" w:eastAsia="Verdana" w:hAnsi="Verdana" w:cs="Verdana"/>
          <w:color w:val="000000"/>
          <w:sz w:val="24"/>
          <w:szCs w:val="24"/>
        </w:rPr>
        <w:t>Não celebrar o contrato ou não entregar a documentação exigida para a contratação, quando convocado dentro do prazo de validade de sua proposta;</w:t>
      </w:r>
    </w:p>
    <w:p w:rsidR="0049312D" w:rsidRDefault="003A1A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11.7</w:t>
      </w:r>
      <w:r>
        <w:rPr>
          <w:rFonts w:ascii="Verdana" w:eastAsia="Verdana" w:hAnsi="Verdana" w:cs="Verdana"/>
          <w:sz w:val="24"/>
          <w:szCs w:val="24"/>
        </w:rPr>
        <w:t xml:space="preserve"> </w:t>
      </w:r>
      <w:r>
        <w:rPr>
          <w:rFonts w:ascii="Verdana" w:eastAsia="Verdana" w:hAnsi="Verdana" w:cs="Verdana"/>
          <w:color w:val="000000"/>
          <w:sz w:val="24"/>
          <w:szCs w:val="24"/>
        </w:rPr>
        <w:t>Ensejar o retardamento da execução ou da entrega do objeto da licitação sem motivo justificado;</w:t>
      </w:r>
    </w:p>
    <w:p w:rsidR="0049312D" w:rsidRDefault="003A1A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11.8 </w:t>
      </w:r>
      <w:r>
        <w:rPr>
          <w:rFonts w:ascii="Verdana" w:eastAsia="Verdana" w:hAnsi="Verdana" w:cs="Verdana"/>
          <w:color w:val="000000"/>
          <w:sz w:val="24"/>
          <w:szCs w:val="24"/>
        </w:rPr>
        <w:t>Apresentar declaração ou documentação falsa exigida para o certame ou prestar declaração falsa durante a licitação ou a execução do contrato;</w:t>
      </w:r>
    </w:p>
    <w:p w:rsidR="0049312D" w:rsidRDefault="003A1A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11.9 </w:t>
      </w:r>
      <w:r>
        <w:rPr>
          <w:rFonts w:ascii="Verdana" w:eastAsia="Verdana" w:hAnsi="Verdana" w:cs="Verdana"/>
          <w:color w:val="000000"/>
          <w:sz w:val="24"/>
          <w:szCs w:val="24"/>
        </w:rPr>
        <w:t>Fraudar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 a licitação ou praticar ato fraudulento na execução do contrato;</w:t>
      </w:r>
    </w:p>
    <w:p w:rsidR="0049312D" w:rsidRDefault="003A1A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11.10 </w:t>
      </w:r>
      <w:r>
        <w:rPr>
          <w:rFonts w:ascii="Verdana" w:eastAsia="Verdana" w:hAnsi="Verdana" w:cs="Verdana"/>
          <w:color w:val="000000"/>
          <w:sz w:val="24"/>
          <w:szCs w:val="24"/>
        </w:rPr>
        <w:t>Comportar-se de modo inidôneo ou cometer fraude de qualquer natureza;</w:t>
      </w:r>
    </w:p>
    <w:p w:rsidR="0049312D" w:rsidRDefault="003A1A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11.11 </w:t>
      </w:r>
      <w:r>
        <w:rPr>
          <w:rFonts w:ascii="Verdana" w:eastAsia="Verdana" w:hAnsi="Verdana" w:cs="Verdana"/>
          <w:color w:val="000000"/>
          <w:sz w:val="24"/>
          <w:szCs w:val="24"/>
        </w:rPr>
        <w:t>Praticar atos ilícitos com vistas a frustrar os objetivos da licitação;</w:t>
      </w:r>
    </w:p>
    <w:p w:rsidR="0049312D" w:rsidRDefault="003A1A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11.12 </w:t>
      </w:r>
      <w:r>
        <w:rPr>
          <w:rFonts w:ascii="Verdana" w:eastAsia="Verdana" w:hAnsi="Verdana" w:cs="Verdana"/>
          <w:color w:val="000000"/>
          <w:sz w:val="24"/>
          <w:szCs w:val="24"/>
        </w:rPr>
        <w:t>Praticar ato lesivo previsto n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o </w:t>
      </w:r>
      <w:hyperlink r:id="rId8" w:anchor="art5">
        <w:r>
          <w:rPr>
            <w:rFonts w:ascii="Verdana" w:eastAsia="Verdana" w:hAnsi="Verdana" w:cs="Verdana"/>
            <w:color w:val="000000"/>
            <w:sz w:val="24"/>
            <w:szCs w:val="24"/>
          </w:rPr>
          <w:t xml:space="preserve">art. 5º da Lei nº 12.846, de 1º de agosto de 2013. </w:t>
        </w:r>
      </w:hyperlink>
    </w:p>
    <w:p w:rsidR="0049312D" w:rsidRDefault="003A1A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11.13 </w:t>
      </w:r>
      <w:r>
        <w:rPr>
          <w:rFonts w:ascii="Verdana" w:eastAsia="Verdana" w:hAnsi="Verdana" w:cs="Verdana"/>
          <w:color w:val="000000"/>
          <w:sz w:val="24"/>
          <w:szCs w:val="24"/>
        </w:rPr>
        <w:t>Pela inexecução total ou parcial do serviço, a Administração pode aplicar à CONTRATADA as sançõe</w:t>
      </w:r>
      <w:r>
        <w:rPr>
          <w:rFonts w:ascii="Verdana" w:eastAsia="Verdana" w:hAnsi="Verdana" w:cs="Verdana"/>
          <w:color w:val="000000"/>
          <w:sz w:val="24"/>
          <w:szCs w:val="24"/>
        </w:rPr>
        <w:t>s previstas no artigo 156, da Lei n° 14.133/2021 e demais:</w:t>
      </w:r>
    </w:p>
    <w:p w:rsidR="0049312D" w:rsidRDefault="003A1AA1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11.14 </w:t>
      </w:r>
      <w:r>
        <w:rPr>
          <w:rFonts w:ascii="Verdana" w:eastAsia="Verdana" w:hAnsi="Verdana" w:cs="Verdana"/>
          <w:color w:val="000000"/>
          <w:sz w:val="24"/>
          <w:szCs w:val="24"/>
        </w:rPr>
        <w:t>Advertência;</w:t>
      </w:r>
    </w:p>
    <w:p w:rsidR="0049312D" w:rsidRDefault="003A1AA1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11.15 </w:t>
      </w:r>
      <w:r>
        <w:rPr>
          <w:rFonts w:ascii="Verdana" w:eastAsia="Verdana" w:hAnsi="Verdana" w:cs="Verdana"/>
          <w:color w:val="000000"/>
          <w:sz w:val="24"/>
          <w:szCs w:val="24"/>
        </w:rPr>
        <w:t>Multa moratória de 1% (um por cento) por dia de atraso injustificado sobre o valor da parcela inadimplida, até o limite de 30 (trinta) dias;</w:t>
      </w:r>
    </w:p>
    <w:p w:rsidR="0049312D" w:rsidRDefault="003A1AA1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11.16 </w:t>
      </w:r>
      <w:r>
        <w:rPr>
          <w:rFonts w:ascii="Verdana" w:eastAsia="Verdana" w:hAnsi="Verdana" w:cs="Verdana"/>
          <w:color w:val="000000"/>
          <w:sz w:val="24"/>
          <w:szCs w:val="24"/>
        </w:rPr>
        <w:t>Multa compensatória de 10% (dez por cento) sobre o valor total do serviço, no caso de inexecução total do objeto;</w:t>
      </w:r>
    </w:p>
    <w:p w:rsidR="0049312D" w:rsidRDefault="003A1AA1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11.17 </w:t>
      </w:r>
      <w:r>
        <w:rPr>
          <w:rFonts w:ascii="Verdana" w:eastAsia="Verdana" w:hAnsi="Verdana" w:cs="Verdana"/>
          <w:color w:val="000000"/>
          <w:sz w:val="24"/>
          <w:szCs w:val="24"/>
        </w:rPr>
        <w:t>Em caso de inexecução parcial, a multa compensatória, no mesmo percentual do subitem acima, será aplicada de forma proporcional à obriga</w:t>
      </w:r>
      <w:r>
        <w:rPr>
          <w:rFonts w:ascii="Verdana" w:eastAsia="Verdana" w:hAnsi="Verdana" w:cs="Verdana"/>
          <w:color w:val="000000"/>
          <w:sz w:val="24"/>
          <w:szCs w:val="24"/>
        </w:rPr>
        <w:t>ção inadimplida;</w:t>
      </w:r>
    </w:p>
    <w:p w:rsidR="0049312D" w:rsidRDefault="003A1AA1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11.18 </w:t>
      </w:r>
      <w:r>
        <w:rPr>
          <w:rFonts w:ascii="Verdana" w:eastAsia="Verdana" w:hAnsi="Verdana" w:cs="Verdana"/>
          <w:color w:val="000000"/>
          <w:sz w:val="24"/>
          <w:szCs w:val="24"/>
        </w:rPr>
        <w:t>Impedimento de licitar e contratar;</w:t>
      </w:r>
    </w:p>
    <w:p w:rsidR="0049312D" w:rsidRDefault="003A1AA1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11.19 </w:t>
      </w:r>
      <w:r>
        <w:rPr>
          <w:rFonts w:ascii="Verdana" w:eastAsia="Verdana" w:hAnsi="Verdana" w:cs="Verdana"/>
          <w:color w:val="000000"/>
          <w:sz w:val="24"/>
          <w:szCs w:val="24"/>
        </w:rPr>
        <w:t>Declaração de inidoneidade para licitar ou contratar;</w:t>
      </w:r>
    </w:p>
    <w:p w:rsidR="0049312D" w:rsidRDefault="003A1AA1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lastRenderedPageBreak/>
        <w:t xml:space="preserve">11.20 </w:t>
      </w:r>
      <w:r>
        <w:rPr>
          <w:rFonts w:ascii="Verdana" w:eastAsia="Verdana" w:hAnsi="Verdana" w:cs="Verdana"/>
          <w:color w:val="000000"/>
          <w:sz w:val="24"/>
          <w:szCs w:val="24"/>
        </w:rPr>
        <w:t>Também ficam sujeitas às penalidades do art. 156 da Lei 14.133/2021, as empresas ou profissionais que:</w:t>
      </w:r>
    </w:p>
    <w:p w:rsidR="0049312D" w:rsidRDefault="003A1AA1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11.21 </w:t>
      </w:r>
      <w:r>
        <w:rPr>
          <w:rFonts w:ascii="Verdana" w:eastAsia="Verdana" w:hAnsi="Verdana" w:cs="Verdana"/>
          <w:color w:val="000000"/>
          <w:sz w:val="24"/>
          <w:szCs w:val="24"/>
        </w:rPr>
        <w:t>Tenham sofrido condena</w:t>
      </w:r>
      <w:r>
        <w:rPr>
          <w:rFonts w:ascii="Verdana" w:eastAsia="Verdana" w:hAnsi="Verdana" w:cs="Verdana"/>
          <w:color w:val="000000"/>
          <w:sz w:val="24"/>
          <w:szCs w:val="24"/>
        </w:rPr>
        <w:t>ção definitiva por praticar, por meio dolosos, fraude fiscal no recolhimento de quaisquer tributos;</w:t>
      </w:r>
    </w:p>
    <w:p w:rsidR="0049312D" w:rsidRDefault="003A1AA1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11.22 </w:t>
      </w:r>
      <w:r>
        <w:rPr>
          <w:rFonts w:ascii="Verdana" w:eastAsia="Verdana" w:hAnsi="Verdana" w:cs="Verdana"/>
          <w:color w:val="000000"/>
          <w:sz w:val="24"/>
          <w:szCs w:val="24"/>
        </w:rPr>
        <w:t>Tenham praticado atos ilícitos visando a frustrar os objetivos da licitação;</w:t>
      </w:r>
    </w:p>
    <w:p w:rsidR="0049312D" w:rsidRDefault="003A1AA1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11.23 </w:t>
      </w:r>
      <w:r>
        <w:rPr>
          <w:rFonts w:ascii="Verdana" w:eastAsia="Verdana" w:hAnsi="Verdana" w:cs="Verdana"/>
          <w:color w:val="000000"/>
          <w:sz w:val="24"/>
          <w:szCs w:val="24"/>
        </w:rPr>
        <w:t>Demonstrem não possuir idoneidade para contratar com a Administraçã</w:t>
      </w:r>
      <w:r>
        <w:rPr>
          <w:rFonts w:ascii="Verdana" w:eastAsia="Verdana" w:hAnsi="Verdana" w:cs="Verdana"/>
          <w:color w:val="000000"/>
          <w:sz w:val="24"/>
          <w:szCs w:val="24"/>
        </w:rPr>
        <w:t>o em virtude de atos ilícitos praticados.</w:t>
      </w:r>
    </w:p>
    <w:p w:rsidR="0049312D" w:rsidRDefault="003A1AA1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11.24 </w:t>
      </w:r>
      <w:r>
        <w:rPr>
          <w:rFonts w:ascii="Verdana" w:eastAsia="Verdana" w:hAnsi="Verdana" w:cs="Verdana"/>
          <w:color w:val="000000"/>
          <w:sz w:val="24"/>
          <w:szCs w:val="24"/>
        </w:rPr>
        <w:t>A aplicação de qualquer das penalidades previstas realizar-se-á em processo administrativo que assegurará o contraditório e a ampla defesa à Contratada, observando-se o procedimento previsto na Lei nº 14.133,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 e subsidiariamente a Lei nº 9.784, de 1999.</w:t>
      </w:r>
    </w:p>
    <w:p w:rsidR="0049312D" w:rsidRDefault="003A1AA1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11.25 </w:t>
      </w:r>
      <w:r>
        <w:rPr>
          <w:rFonts w:ascii="Verdana" w:eastAsia="Verdana" w:hAnsi="Verdana" w:cs="Verdana"/>
          <w:color w:val="000000"/>
          <w:sz w:val="24"/>
          <w:szCs w:val="24"/>
        </w:rPr>
        <w:t>As multas devidas e/ou prejuízos causados à Contratante serão deduzidos dos valores a serem pagos, ou recolhido sem favor da União, ou deduzidos da garantia, ou ainda, quando for o caso, serão inscritos na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 Dívida Ativa da União e cobrados judicialmente.</w:t>
      </w:r>
    </w:p>
    <w:p w:rsidR="0049312D" w:rsidRDefault="003A1AA1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11.26 </w:t>
      </w:r>
      <w:r>
        <w:rPr>
          <w:rFonts w:ascii="Verdana" w:eastAsia="Verdana" w:hAnsi="Verdana" w:cs="Verdana"/>
          <w:color w:val="000000"/>
          <w:sz w:val="24"/>
          <w:szCs w:val="24"/>
        </w:rPr>
        <w:t>Caso o valor da multa não seja suficiente para cobrir os prejuízos causados pela conduta do licitante, a União ou Entidade poderá cobrar o valor remanescente judicialmente, conforme artigo 419 do Códig</w:t>
      </w:r>
      <w:r>
        <w:rPr>
          <w:rFonts w:ascii="Verdana" w:eastAsia="Verdana" w:hAnsi="Verdana" w:cs="Verdana"/>
          <w:color w:val="000000"/>
          <w:sz w:val="24"/>
          <w:szCs w:val="24"/>
        </w:rPr>
        <w:t>o Civil.</w:t>
      </w:r>
    </w:p>
    <w:p w:rsidR="0049312D" w:rsidRDefault="003A1AA1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11.27 </w:t>
      </w:r>
      <w:r>
        <w:rPr>
          <w:rFonts w:ascii="Verdana" w:eastAsia="Verdana" w:hAnsi="Verdana" w:cs="Verdana"/>
          <w:color w:val="000000"/>
          <w:sz w:val="24"/>
          <w:szCs w:val="24"/>
        </w:rPr>
        <w:t>A autoridade competente, na aplicação das sanções, levará em consideração a gravidade da conduta do infrator, o caráter educativo da pena, bem como o dano causado à Administração, observado o princípio da proporcionalidade.</w:t>
      </w:r>
    </w:p>
    <w:p w:rsidR="0049312D" w:rsidRDefault="003A1AA1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11.28 </w:t>
      </w:r>
      <w:r>
        <w:rPr>
          <w:rFonts w:ascii="Verdana" w:eastAsia="Verdana" w:hAnsi="Verdana" w:cs="Verdana"/>
          <w:color w:val="000000"/>
          <w:sz w:val="24"/>
          <w:szCs w:val="24"/>
        </w:rPr>
        <w:t>Se, durante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 o processo de aplicação de penalidade, se houver indícios de prática de infração administrativa tipificada pela Lei nº 12.846, de 1º de agosto de 2013, como ato lesivo à administração pública nacional ou estrangeira, cópias dos processos administrativos n</w:t>
      </w:r>
      <w:r>
        <w:rPr>
          <w:rFonts w:ascii="Verdana" w:eastAsia="Verdana" w:hAnsi="Verdana" w:cs="Verdana"/>
          <w:color w:val="000000"/>
          <w:sz w:val="24"/>
          <w:szCs w:val="24"/>
        </w:rPr>
        <w:t>ecessários à apuração da responsabilidade da empresa deverão ser remetidas à autoridade competente, com despacho fundamentado, para ciência e decisão sobre a eventual instauração de investigação preliminar ou Processo Administrativo de Responsabilização –P</w:t>
      </w:r>
      <w:r>
        <w:rPr>
          <w:rFonts w:ascii="Verdana" w:eastAsia="Verdana" w:hAnsi="Verdana" w:cs="Verdana"/>
          <w:color w:val="000000"/>
          <w:sz w:val="24"/>
          <w:szCs w:val="24"/>
        </w:rPr>
        <w:t>AR.</w:t>
      </w:r>
    </w:p>
    <w:p w:rsidR="0049312D" w:rsidRDefault="003A1AA1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11.29 </w:t>
      </w:r>
      <w:r>
        <w:rPr>
          <w:rFonts w:ascii="Verdana" w:eastAsia="Verdana" w:hAnsi="Verdana" w:cs="Verdana"/>
          <w:color w:val="000000"/>
          <w:sz w:val="24"/>
          <w:szCs w:val="24"/>
        </w:rPr>
        <w:t>A apuração e o julgamento das demais infrações administrativas não consideradas como ato lesivo à Administração Pública nacional ou estrangeira nos termos da Lei nº 12.846, de 1º de agosto de 2013, seguirão seu rito normal na unidade administrati</w:t>
      </w:r>
      <w:r>
        <w:rPr>
          <w:rFonts w:ascii="Verdana" w:eastAsia="Verdana" w:hAnsi="Verdana" w:cs="Verdana"/>
          <w:color w:val="000000"/>
          <w:sz w:val="24"/>
          <w:szCs w:val="24"/>
        </w:rPr>
        <w:t>va.</w:t>
      </w:r>
    </w:p>
    <w:p w:rsidR="0049312D" w:rsidRDefault="0049312D">
      <w:pPr>
        <w:pBdr>
          <w:top w:val="nil"/>
          <w:left w:val="nil"/>
          <w:bottom w:val="nil"/>
          <w:right w:val="nil"/>
          <w:between w:val="nil"/>
        </w:pBdr>
        <w:spacing w:before="200" w:after="200"/>
        <w:jc w:val="both"/>
        <w:rPr>
          <w:rFonts w:ascii="Verdana" w:eastAsia="Verdana" w:hAnsi="Verdana" w:cs="Verdana"/>
          <w:sz w:val="24"/>
          <w:szCs w:val="24"/>
        </w:rPr>
      </w:pPr>
    </w:p>
    <w:p w:rsidR="0049312D" w:rsidRDefault="003A1AA1">
      <w:pPr>
        <w:jc w:val="right"/>
        <w:rPr>
          <w:rFonts w:ascii="Verdana" w:eastAsia="Verdana" w:hAnsi="Verdana" w:cs="Verdana"/>
          <w:sz w:val="24"/>
          <w:szCs w:val="24"/>
        </w:rPr>
      </w:pPr>
      <w:bookmarkStart w:id="1" w:name="_heading=h.gjdgxs" w:colFirst="0" w:colLast="0"/>
      <w:bookmarkEnd w:id="1"/>
      <w:r>
        <w:rPr>
          <w:rFonts w:ascii="Verdana" w:eastAsia="Verdana" w:hAnsi="Verdana" w:cs="Verdana"/>
          <w:sz w:val="24"/>
          <w:szCs w:val="24"/>
        </w:rPr>
        <w:t>Abelardo Luz, SC, 24 de abril de 2024</w:t>
      </w:r>
    </w:p>
    <w:p w:rsidR="0049312D" w:rsidRDefault="0049312D">
      <w:pPr>
        <w:jc w:val="right"/>
        <w:rPr>
          <w:rFonts w:ascii="Verdana" w:eastAsia="Verdana" w:hAnsi="Verdana" w:cs="Verdana"/>
          <w:sz w:val="24"/>
          <w:szCs w:val="24"/>
        </w:rPr>
      </w:pPr>
      <w:bookmarkStart w:id="2" w:name="_heading=h.na3i7syy2j21" w:colFirst="0" w:colLast="0"/>
      <w:bookmarkEnd w:id="2"/>
    </w:p>
    <w:p w:rsidR="0049312D" w:rsidRDefault="0049312D">
      <w:pPr>
        <w:jc w:val="right"/>
        <w:rPr>
          <w:rFonts w:ascii="Verdana" w:eastAsia="Verdana" w:hAnsi="Verdana" w:cs="Verdana"/>
          <w:sz w:val="24"/>
          <w:szCs w:val="24"/>
        </w:rPr>
      </w:pPr>
      <w:bookmarkStart w:id="3" w:name="_heading=h.ocit0cetsx3r" w:colFirst="0" w:colLast="0"/>
      <w:bookmarkEnd w:id="3"/>
    </w:p>
    <w:p w:rsidR="0049312D" w:rsidRDefault="0049312D">
      <w:pPr>
        <w:jc w:val="right"/>
        <w:rPr>
          <w:rFonts w:ascii="Verdana" w:eastAsia="Verdana" w:hAnsi="Verdana" w:cs="Verdana"/>
          <w:sz w:val="24"/>
          <w:szCs w:val="24"/>
        </w:rPr>
      </w:pPr>
      <w:bookmarkStart w:id="4" w:name="_heading=h.vrehlajgnakr" w:colFirst="0" w:colLast="0"/>
      <w:bookmarkEnd w:id="4"/>
    </w:p>
    <w:p w:rsidR="0049312D" w:rsidRDefault="0049312D">
      <w:pPr>
        <w:jc w:val="right"/>
        <w:rPr>
          <w:rFonts w:ascii="Verdana" w:eastAsia="Verdana" w:hAnsi="Verdana" w:cs="Verdana"/>
          <w:sz w:val="24"/>
          <w:szCs w:val="24"/>
        </w:rPr>
      </w:pPr>
      <w:bookmarkStart w:id="5" w:name="_heading=h.4nmrxipgq3nf" w:colFirst="0" w:colLast="0"/>
      <w:bookmarkEnd w:id="5"/>
    </w:p>
    <w:p w:rsidR="0049312D" w:rsidRDefault="0049312D">
      <w:pPr>
        <w:jc w:val="right"/>
        <w:rPr>
          <w:rFonts w:ascii="Verdana" w:eastAsia="Verdana" w:hAnsi="Verdana" w:cs="Verdana"/>
          <w:sz w:val="24"/>
          <w:szCs w:val="24"/>
        </w:rPr>
      </w:pPr>
      <w:bookmarkStart w:id="6" w:name="_heading=h.cw4kd8nxri8c" w:colFirst="0" w:colLast="0"/>
      <w:bookmarkEnd w:id="6"/>
    </w:p>
    <w:p w:rsidR="0049312D" w:rsidRDefault="0049312D">
      <w:pPr>
        <w:rPr>
          <w:rFonts w:ascii="Verdana" w:eastAsia="Verdana" w:hAnsi="Verdana" w:cs="Verdana"/>
          <w:b/>
          <w:sz w:val="24"/>
          <w:szCs w:val="24"/>
        </w:rPr>
      </w:pPr>
    </w:p>
    <w:p w:rsidR="0049312D" w:rsidRDefault="003A1AA1">
      <w:pPr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_______________________</w:t>
      </w:r>
    </w:p>
    <w:p w:rsidR="0049312D" w:rsidRDefault="003A1AA1">
      <w:pPr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Luan Freitas De Souza</w:t>
      </w:r>
    </w:p>
    <w:p w:rsidR="0049312D" w:rsidRDefault="003A1AA1">
      <w:pPr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Coordenador De Apoio Operacional</w:t>
      </w:r>
    </w:p>
    <w:p w:rsidR="0049312D" w:rsidRDefault="0049312D">
      <w:pPr>
        <w:jc w:val="center"/>
        <w:rPr>
          <w:rFonts w:ascii="Verdana" w:eastAsia="Verdana" w:hAnsi="Verdana" w:cs="Verdana"/>
          <w:b/>
          <w:sz w:val="24"/>
          <w:szCs w:val="24"/>
          <w:highlight w:val="yellow"/>
        </w:rPr>
      </w:pPr>
    </w:p>
    <w:p w:rsidR="0049312D" w:rsidRDefault="0049312D">
      <w:pPr>
        <w:jc w:val="center"/>
        <w:rPr>
          <w:rFonts w:ascii="Verdana" w:eastAsia="Verdana" w:hAnsi="Verdana" w:cs="Verdana"/>
          <w:b/>
          <w:sz w:val="24"/>
          <w:szCs w:val="24"/>
          <w:highlight w:val="yellow"/>
        </w:rPr>
      </w:pPr>
    </w:p>
    <w:p w:rsidR="0049312D" w:rsidRDefault="003A1AA1">
      <w:pPr>
        <w:jc w:val="center"/>
        <w:rPr>
          <w:rFonts w:ascii="Verdana" w:eastAsia="Verdana" w:hAnsi="Verdana" w:cs="Verdana"/>
          <w:b/>
          <w:sz w:val="24"/>
          <w:szCs w:val="24"/>
          <w:highlight w:val="yellow"/>
        </w:rPr>
      </w:pPr>
      <w:r>
        <w:br w:type="page"/>
      </w:r>
    </w:p>
    <w:p w:rsidR="0049312D" w:rsidRDefault="0049312D">
      <w:pPr>
        <w:jc w:val="center"/>
        <w:rPr>
          <w:rFonts w:ascii="Verdana" w:eastAsia="Verdana" w:hAnsi="Verdana" w:cs="Verdana"/>
          <w:b/>
          <w:sz w:val="24"/>
          <w:szCs w:val="24"/>
          <w:highlight w:val="yellow"/>
        </w:rPr>
      </w:pPr>
    </w:p>
    <w:p w:rsidR="0049312D" w:rsidRDefault="0049312D">
      <w:pPr>
        <w:jc w:val="center"/>
        <w:rPr>
          <w:rFonts w:ascii="Verdana" w:eastAsia="Verdana" w:hAnsi="Verdana" w:cs="Verdana"/>
          <w:b/>
          <w:sz w:val="24"/>
          <w:szCs w:val="24"/>
          <w:highlight w:val="yellow"/>
        </w:rPr>
      </w:pPr>
    </w:p>
    <w:p w:rsidR="0049312D" w:rsidRDefault="003A1AA1">
      <w:pPr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DESPACHO DO ORDENADOR DE DESPESAS</w:t>
      </w:r>
    </w:p>
    <w:p w:rsidR="0049312D" w:rsidRDefault="0049312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7"/>
        <w:ind w:left="552"/>
        <w:jc w:val="both"/>
        <w:rPr>
          <w:rFonts w:ascii="Verdana" w:eastAsia="Verdana" w:hAnsi="Verdana" w:cs="Verdana"/>
          <w:b/>
          <w:color w:val="000000"/>
          <w:sz w:val="24"/>
          <w:szCs w:val="24"/>
        </w:rPr>
      </w:pPr>
    </w:p>
    <w:p w:rsidR="0049312D" w:rsidRDefault="003A1AA1">
      <w:pPr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O documento apresentado descreve de maneira adequada o planejamento da contratação, sendo inviável a competição pois somente a instituição contratada atende as necessidades da administração, também possui critérios de aceitação do objeto, deveres do Licita</w:t>
      </w:r>
      <w:r>
        <w:rPr>
          <w:rFonts w:ascii="Verdana" w:eastAsia="Verdana" w:hAnsi="Verdana" w:cs="Verdana"/>
          <w:sz w:val="24"/>
          <w:szCs w:val="24"/>
        </w:rPr>
        <w:t>nte e da Administração, procedimentos de fiscalização e gerenciamento, prazos e a possibilidade de sanções administrativas, de forma clara, concisa e objetiva.</w:t>
      </w:r>
    </w:p>
    <w:p w:rsidR="0049312D" w:rsidRDefault="0049312D">
      <w:pPr>
        <w:jc w:val="both"/>
        <w:rPr>
          <w:rFonts w:ascii="Verdana" w:eastAsia="Verdana" w:hAnsi="Verdana" w:cs="Verdana"/>
          <w:sz w:val="24"/>
          <w:szCs w:val="24"/>
        </w:rPr>
      </w:pPr>
    </w:p>
    <w:p w:rsidR="0049312D" w:rsidRDefault="003A1AA1">
      <w:pPr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Dessa forma, nos termos do artigo 74 da Lei n° 14.133/2021, aprovo o presente Termo de Referênc</w:t>
      </w:r>
      <w:r>
        <w:rPr>
          <w:rFonts w:ascii="Verdana" w:eastAsia="Verdana" w:hAnsi="Verdana" w:cs="Verdana"/>
          <w:sz w:val="24"/>
          <w:szCs w:val="24"/>
        </w:rPr>
        <w:t>ia.</w:t>
      </w:r>
    </w:p>
    <w:p w:rsidR="0049312D" w:rsidRDefault="0049312D">
      <w:pPr>
        <w:jc w:val="both"/>
        <w:rPr>
          <w:rFonts w:ascii="Verdana" w:eastAsia="Verdana" w:hAnsi="Verdana" w:cs="Verdana"/>
          <w:sz w:val="24"/>
          <w:szCs w:val="24"/>
        </w:rPr>
      </w:pPr>
    </w:p>
    <w:p w:rsidR="0049312D" w:rsidRDefault="0049312D">
      <w:pPr>
        <w:jc w:val="both"/>
        <w:rPr>
          <w:rFonts w:ascii="Verdana" w:eastAsia="Verdana" w:hAnsi="Verdana" w:cs="Verdana"/>
          <w:sz w:val="24"/>
          <w:szCs w:val="24"/>
        </w:rPr>
      </w:pPr>
    </w:p>
    <w:p w:rsidR="0049312D" w:rsidRDefault="003A1AA1">
      <w:pPr>
        <w:jc w:val="right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Abelardo Luz, SC, 24 de abril de 2024.</w:t>
      </w:r>
    </w:p>
    <w:p w:rsidR="0049312D" w:rsidRDefault="0049312D">
      <w:pPr>
        <w:jc w:val="both"/>
        <w:rPr>
          <w:rFonts w:ascii="Verdana" w:eastAsia="Verdana" w:hAnsi="Verdana" w:cs="Verdana"/>
          <w:sz w:val="24"/>
          <w:szCs w:val="24"/>
        </w:rPr>
      </w:pPr>
    </w:p>
    <w:p w:rsidR="0049312D" w:rsidRDefault="0049312D">
      <w:pPr>
        <w:jc w:val="both"/>
        <w:rPr>
          <w:rFonts w:ascii="Verdana" w:eastAsia="Verdana" w:hAnsi="Verdana" w:cs="Verdana"/>
          <w:sz w:val="24"/>
          <w:szCs w:val="24"/>
        </w:rPr>
      </w:pPr>
    </w:p>
    <w:p w:rsidR="0049312D" w:rsidRDefault="0049312D">
      <w:pPr>
        <w:jc w:val="both"/>
        <w:rPr>
          <w:rFonts w:ascii="Verdana" w:eastAsia="Verdana" w:hAnsi="Verdana" w:cs="Verdana"/>
          <w:sz w:val="24"/>
          <w:szCs w:val="24"/>
        </w:rPr>
      </w:pPr>
    </w:p>
    <w:p w:rsidR="0049312D" w:rsidRDefault="0049312D">
      <w:pPr>
        <w:jc w:val="both"/>
        <w:rPr>
          <w:rFonts w:ascii="Verdana" w:eastAsia="Verdana" w:hAnsi="Verdana" w:cs="Verdana"/>
          <w:sz w:val="24"/>
          <w:szCs w:val="24"/>
          <w:highlight w:val="yellow"/>
        </w:rPr>
      </w:pPr>
    </w:p>
    <w:p w:rsidR="0049312D" w:rsidRDefault="0049312D">
      <w:pPr>
        <w:jc w:val="both"/>
        <w:rPr>
          <w:rFonts w:ascii="Verdana" w:eastAsia="Verdana" w:hAnsi="Verdana" w:cs="Verdana"/>
          <w:sz w:val="24"/>
          <w:szCs w:val="24"/>
          <w:highlight w:val="yellow"/>
        </w:rPr>
      </w:pPr>
    </w:p>
    <w:p w:rsidR="0049312D" w:rsidRDefault="0049312D">
      <w:pPr>
        <w:jc w:val="both"/>
        <w:rPr>
          <w:rFonts w:ascii="Verdana" w:eastAsia="Verdana" w:hAnsi="Verdana" w:cs="Verdana"/>
          <w:sz w:val="24"/>
          <w:szCs w:val="24"/>
          <w:highlight w:val="yellow"/>
        </w:rPr>
      </w:pPr>
    </w:p>
    <w:p w:rsidR="0049312D" w:rsidRDefault="0049312D">
      <w:pPr>
        <w:jc w:val="both"/>
        <w:rPr>
          <w:rFonts w:ascii="Verdana" w:eastAsia="Verdana" w:hAnsi="Verdana" w:cs="Verdana"/>
          <w:sz w:val="24"/>
          <w:szCs w:val="24"/>
          <w:highlight w:val="yellow"/>
        </w:rPr>
      </w:pPr>
    </w:p>
    <w:p w:rsidR="0049312D" w:rsidRDefault="003A1AA1">
      <w:pPr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_________________</w:t>
      </w:r>
    </w:p>
    <w:p w:rsidR="0049312D" w:rsidRDefault="003A1AA1">
      <w:pPr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Nerci Santin</w:t>
      </w:r>
    </w:p>
    <w:p w:rsidR="0049312D" w:rsidRDefault="003A1AA1">
      <w:pPr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Prefeito Municipal</w:t>
      </w:r>
    </w:p>
    <w:p w:rsidR="0049312D" w:rsidRDefault="0049312D">
      <w:pPr>
        <w:jc w:val="both"/>
        <w:rPr>
          <w:rFonts w:ascii="Verdana" w:eastAsia="Verdana" w:hAnsi="Verdana" w:cs="Verdana"/>
          <w:sz w:val="24"/>
          <w:szCs w:val="24"/>
        </w:rPr>
      </w:pPr>
    </w:p>
    <w:p w:rsidR="0049312D" w:rsidRDefault="0049312D">
      <w:pPr>
        <w:jc w:val="both"/>
        <w:rPr>
          <w:rFonts w:ascii="Verdana" w:eastAsia="Verdana" w:hAnsi="Verdana" w:cs="Verdana"/>
          <w:sz w:val="24"/>
          <w:szCs w:val="24"/>
          <w:highlight w:val="yellow"/>
        </w:rPr>
      </w:pPr>
    </w:p>
    <w:p w:rsidR="0049312D" w:rsidRDefault="0049312D">
      <w:pPr>
        <w:jc w:val="both"/>
        <w:rPr>
          <w:rFonts w:ascii="Verdana" w:eastAsia="Verdana" w:hAnsi="Verdana" w:cs="Verdana"/>
          <w:sz w:val="24"/>
          <w:szCs w:val="24"/>
          <w:highlight w:val="yellow"/>
        </w:rPr>
      </w:pPr>
    </w:p>
    <w:p w:rsidR="0049312D" w:rsidRDefault="0049312D">
      <w:pPr>
        <w:jc w:val="both"/>
        <w:rPr>
          <w:rFonts w:ascii="Verdana" w:eastAsia="Verdana" w:hAnsi="Verdana" w:cs="Verdana"/>
          <w:sz w:val="24"/>
          <w:szCs w:val="24"/>
          <w:highlight w:val="yellow"/>
        </w:rPr>
      </w:pPr>
    </w:p>
    <w:p w:rsidR="0049312D" w:rsidRDefault="0049312D">
      <w:pPr>
        <w:jc w:val="both"/>
        <w:rPr>
          <w:rFonts w:ascii="Verdana" w:eastAsia="Verdana" w:hAnsi="Verdana" w:cs="Verdana"/>
          <w:sz w:val="24"/>
          <w:szCs w:val="24"/>
          <w:highlight w:val="yellow"/>
        </w:rPr>
      </w:pPr>
    </w:p>
    <w:p w:rsidR="0049312D" w:rsidRDefault="0049312D">
      <w:pPr>
        <w:jc w:val="both"/>
        <w:rPr>
          <w:rFonts w:ascii="Verdana" w:eastAsia="Verdana" w:hAnsi="Verdana" w:cs="Verdana"/>
          <w:sz w:val="24"/>
          <w:szCs w:val="24"/>
        </w:rPr>
      </w:pPr>
    </w:p>
    <w:sectPr w:rsidR="0049312D">
      <w:headerReference w:type="even" r:id="rId9"/>
      <w:headerReference w:type="default" r:id="rId10"/>
      <w:footerReference w:type="even" r:id="rId11"/>
      <w:pgSz w:w="11906" w:h="16838"/>
      <w:pgMar w:top="17" w:right="1133" w:bottom="709" w:left="1701" w:header="0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AA1" w:rsidRDefault="003A1AA1">
      <w:r>
        <w:separator/>
      </w:r>
    </w:p>
  </w:endnote>
  <w:endnote w:type="continuationSeparator" w:id="0">
    <w:p w:rsidR="003A1AA1" w:rsidRDefault="003A1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12D" w:rsidRDefault="003A1AA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49312D" w:rsidRDefault="0049312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AA1" w:rsidRDefault="003A1AA1">
      <w:r>
        <w:separator/>
      </w:r>
    </w:p>
  </w:footnote>
  <w:footnote w:type="continuationSeparator" w:id="0">
    <w:p w:rsidR="003A1AA1" w:rsidRDefault="003A1A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12D" w:rsidRDefault="003A1AA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49312D" w:rsidRDefault="0049312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12D" w:rsidRDefault="003A1AA1">
    <w:pPr>
      <w:tabs>
        <w:tab w:val="center" w:pos="4320"/>
        <w:tab w:val="right" w:pos="8640"/>
      </w:tabs>
      <w:ind w:left="-1701"/>
      <w:rPr>
        <w:rFonts w:ascii="Arial" w:eastAsia="Arial" w:hAnsi="Arial" w:cs="Arial"/>
        <w:i/>
        <w:color w:val="000000"/>
        <w:sz w:val="32"/>
        <w:szCs w:val="32"/>
      </w:rPr>
    </w:pPr>
    <w:r>
      <w:rPr>
        <w:rFonts w:ascii="Arial" w:eastAsia="Arial" w:hAnsi="Arial" w:cs="Arial"/>
        <w:i/>
        <w:noProof/>
        <w:sz w:val="32"/>
        <w:szCs w:val="32"/>
        <w:lang w:val="pt-BR"/>
      </w:rPr>
      <w:drawing>
        <wp:anchor distT="114300" distB="114300" distL="114300" distR="114300" simplePos="0" relativeHeight="251658240" behindDoc="0" locked="0" layoutInCell="1" hidden="0" allowOverlap="1">
          <wp:simplePos x="0" y="0"/>
          <wp:positionH relativeFrom="page">
            <wp:posOffset>-15218</wp:posOffset>
          </wp:positionH>
          <wp:positionV relativeFrom="page">
            <wp:posOffset>-114278</wp:posOffset>
          </wp:positionV>
          <wp:extent cx="7563803" cy="1333500"/>
          <wp:effectExtent l="0" t="0" r="0" b="0"/>
          <wp:wrapTopAndBottom distT="114300" distB="114300"/>
          <wp:docPr id="1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-9531"/>
                  <a:stretch>
                    <a:fillRect/>
                  </a:stretch>
                </pic:blipFill>
                <pic:spPr>
                  <a:xfrm>
                    <a:off x="0" y="0"/>
                    <a:ext cx="7563803" cy="1333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49312D" w:rsidRDefault="0049312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51"/>
      <w:rPr>
        <w:rFonts w:ascii="Arial" w:eastAsia="Arial" w:hAnsi="Arial" w:cs="Arial"/>
        <w:i/>
        <w:color w:val="00000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9312D"/>
    <w:rsid w:val="003A1AA1"/>
    <w:rsid w:val="0049312D"/>
    <w:rsid w:val="00A67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jc w:val="center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pPr>
      <w:keepNext/>
      <w:jc w:val="both"/>
      <w:outlineLvl w:val="1"/>
    </w:pPr>
    <w:rPr>
      <w:b/>
      <w:sz w:val="21"/>
      <w:szCs w:val="21"/>
    </w:rPr>
  </w:style>
  <w:style w:type="paragraph" w:styleId="Ttulo3">
    <w:name w:val="heading 3"/>
    <w:basedOn w:val="Normal"/>
    <w:next w:val="Normal"/>
    <w:pPr>
      <w:keepNext/>
      <w:outlineLvl w:val="2"/>
    </w:pPr>
    <w:rPr>
      <w:b/>
      <w:sz w:val="36"/>
      <w:szCs w:val="36"/>
    </w:rPr>
  </w:style>
  <w:style w:type="paragraph" w:styleId="Ttulo4">
    <w:name w:val="heading 4"/>
    <w:basedOn w:val="Normal"/>
    <w:next w:val="Normal"/>
    <w:pPr>
      <w:keepNext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sz w:val="24"/>
      <w:szCs w:val="24"/>
    </w:rPr>
  </w:style>
  <w:style w:type="paragraph" w:styleId="Ttulo6">
    <w:name w:val="heading 6"/>
    <w:basedOn w:val="Normal"/>
    <w:next w:val="Normal"/>
    <w:pPr>
      <w:keepNext/>
      <w:jc w:val="center"/>
      <w:outlineLvl w:val="5"/>
    </w:pPr>
    <w:rPr>
      <w:b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f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jc w:val="center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pPr>
      <w:keepNext/>
      <w:jc w:val="both"/>
      <w:outlineLvl w:val="1"/>
    </w:pPr>
    <w:rPr>
      <w:b/>
      <w:sz w:val="21"/>
      <w:szCs w:val="21"/>
    </w:rPr>
  </w:style>
  <w:style w:type="paragraph" w:styleId="Ttulo3">
    <w:name w:val="heading 3"/>
    <w:basedOn w:val="Normal"/>
    <w:next w:val="Normal"/>
    <w:pPr>
      <w:keepNext/>
      <w:outlineLvl w:val="2"/>
    </w:pPr>
    <w:rPr>
      <w:b/>
      <w:sz w:val="36"/>
      <w:szCs w:val="36"/>
    </w:rPr>
  </w:style>
  <w:style w:type="paragraph" w:styleId="Ttulo4">
    <w:name w:val="heading 4"/>
    <w:basedOn w:val="Normal"/>
    <w:next w:val="Normal"/>
    <w:pPr>
      <w:keepNext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sz w:val="24"/>
      <w:szCs w:val="24"/>
    </w:rPr>
  </w:style>
  <w:style w:type="paragraph" w:styleId="Ttulo6">
    <w:name w:val="heading 6"/>
    <w:basedOn w:val="Normal"/>
    <w:next w:val="Normal"/>
    <w:pPr>
      <w:keepNext/>
      <w:jc w:val="center"/>
      <w:outlineLvl w:val="5"/>
    </w:pPr>
    <w:rPr>
      <w:b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f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_Ato2011-2014/2013/Lei/L12846.ht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88Es3P2+skecuVMFWQpQVmiB6g==">CgMxLjAyCGguZ2pkZ3hzMg5oLm5hM2k3c3l5MmoyMTIOaC5vY2l0MGNldHN4M3IyDmgudnJlaGxhamduYWtyMg5oLjRubXJ4aXBncTNuZjIOaC5jdzRrZDhueHJpOGM4AHIhMWZSVGtGZWFVZG82bTJ4eVdKUUVwWU5LTUtnVzZkYTc4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1736</Words>
  <Characters>9380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2</cp:revision>
  <dcterms:created xsi:type="dcterms:W3CDTF">2024-04-24T11:20:00Z</dcterms:created>
  <dcterms:modified xsi:type="dcterms:W3CDTF">2024-04-24T11:20:00Z</dcterms:modified>
</cp:coreProperties>
</file>